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175294" w:rsidRDefault="00093B61" w:rsidP="00093B6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093B61" w:rsidRPr="00175294" w:rsidRDefault="00093B61" w:rsidP="00093B61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175294" w:rsidRDefault="00093B61" w:rsidP="00093B61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89FBFE6" wp14:editId="43918F74">
            <wp:extent cx="2737305" cy="1771711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746694" cy="1777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B61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175294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B61" w:rsidRPr="00FF7A82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93B61" w:rsidRPr="00FF7A82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3B61" w:rsidRDefault="00093B61" w:rsidP="00093B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0960FC" w:rsidRDefault="00093B61" w:rsidP="00093B6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093B61" w:rsidRPr="00AB453E" w:rsidRDefault="00093B61" w:rsidP="00093B61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ЛОГИКА. ТЕОРИЯ АРГУМЕНТАЦИИ</w:t>
      </w:r>
    </w:p>
    <w:p w:rsidR="00093B61" w:rsidRPr="00E83CED" w:rsidRDefault="00093B61" w:rsidP="00093B61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093B61" w:rsidRPr="00E83CED" w:rsidRDefault="00093B61" w:rsidP="00093B61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093B61" w:rsidRPr="00E83CED" w:rsidRDefault="00093B61" w:rsidP="00093B61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093B61" w:rsidRPr="00E83CED" w:rsidRDefault="00093B61" w:rsidP="00093B61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093B61" w:rsidRPr="00E83CED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E83CED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E83CED" w:rsidRDefault="00093B61" w:rsidP="00093B6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B61" w:rsidRPr="00BD15C2" w:rsidRDefault="00093B61" w:rsidP="00093B61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Логика. Теория аргументации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C4623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Default="00093B61" w:rsidP="00093B61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93B61" w:rsidRPr="007A0507" w:rsidRDefault="00093B61" w:rsidP="00093B61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:rsidR="00093B61" w:rsidRPr="00FF7A82" w:rsidRDefault="00093B61" w:rsidP="00093B61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2002A" w:rsidRDefault="00450F16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Название дисциплины:</w:t>
      </w:r>
    </w:p>
    <w:p w:rsidR="00450F16" w:rsidRPr="00366A75" w:rsidRDefault="00BB3123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color w:val="000000"/>
        </w:rPr>
      </w:pPr>
      <w:r w:rsidRPr="00366A75">
        <w:rPr>
          <w:rFonts w:ascii="Times New Roman" w:eastAsia="Calibri" w:hAnsi="Times New Roman" w:cs="Times New Roman"/>
          <w:color w:val="000000"/>
        </w:rPr>
        <w:t>Логика. Теория аргументации</w:t>
      </w:r>
      <w:r w:rsidR="00E2002A">
        <w:rPr>
          <w:rFonts w:ascii="Times New Roman" w:eastAsia="Calibri" w:hAnsi="Times New Roman" w:cs="Times New Roman"/>
          <w:color w:val="000000"/>
        </w:rPr>
        <w:t>.</w:t>
      </w:r>
    </w:p>
    <w:p w:rsidR="00BB3123" w:rsidRPr="00366A75" w:rsidRDefault="00BB3123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Cs/>
          <w:lang w:eastAsia="ru-RU"/>
        </w:rPr>
      </w:pPr>
    </w:p>
    <w:p w:rsidR="00450F16" w:rsidRDefault="00450F16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t>Планируемые результаты освоения дисциплины:</w:t>
      </w:r>
    </w:p>
    <w:p w:rsidR="00E2002A" w:rsidRPr="00366A75" w:rsidRDefault="00E2002A" w:rsidP="00450F16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9890" w:type="dxa"/>
        <w:tblLayout w:type="fixed"/>
        <w:tblLook w:val="04A0" w:firstRow="1" w:lastRow="0" w:firstColumn="1" w:lastColumn="0" w:noHBand="0" w:noVBand="1"/>
      </w:tblPr>
      <w:tblGrid>
        <w:gridCol w:w="2065"/>
        <w:gridCol w:w="3452"/>
        <w:gridCol w:w="4373"/>
      </w:tblGrid>
      <w:tr w:rsidR="00BB3123" w:rsidRPr="00366A75" w:rsidTr="0074365D">
        <w:tc>
          <w:tcPr>
            <w:tcW w:w="2065" w:type="dxa"/>
          </w:tcPr>
          <w:p w:rsidR="00BB3123" w:rsidRPr="00366A75" w:rsidRDefault="00BB3123" w:rsidP="00CA1378">
            <w:pPr>
              <w:jc w:val="center"/>
              <w:rPr>
                <w:rFonts w:ascii="Times New Roman" w:hAnsi="Times New Roman" w:cs="Times New Roman"/>
              </w:rPr>
            </w:pPr>
            <w:r w:rsidRPr="00366A75">
              <w:rPr>
                <w:rFonts w:ascii="Times New Roman" w:hAnsi="Times New Roman" w:cs="Times New Roman"/>
              </w:rPr>
              <w:t>Код компетенции</w:t>
            </w:r>
          </w:p>
        </w:tc>
        <w:tc>
          <w:tcPr>
            <w:tcW w:w="3452" w:type="dxa"/>
          </w:tcPr>
          <w:p w:rsidR="00BB3123" w:rsidRPr="00366A75" w:rsidRDefault="00BB3123" w:rsidP="00CA1378">
            <w:pPr>
              <w:jc w:val="center"/>
              <w:rPr>
                <w:rFonts w:ascii="Times New Roman" w:hAnsi="Times New Roman" w:cs="Times New Roman"/>
              </w:rPr>
            </w:pPr>
            <w:r w:rsidRPr="00366A75">
              <w:rPr>
                <w:rFonts w:ascii="Times New Roman" w:hAnsi="Times New Roman" w:cs="Times New Roman"/>
              </w:rPr>
              <w:t>Наименование компетенции</w:t>
            </w:r>
          </w:p>
        </w:tc>
        <w:tc>
          <w:tcPr>
            <w:tcW w:w="4373" w:type="dxa"/>
          </w:tcPr>
          <w:p w:rsidR="00BB3123" w:rsidRPr="00366A75" w:rsidRDefault="00BB3123" w:rsidP="00CA1378">
            <w:pPr>
              <w:jc w:val="center"/>
              <w:rPr>
                <w:rFonts w:ascii="Times New Roman" w:hAnsi="Times New Roman" w:cs="Times New Roman"/>
              </w:rPr>
            </w:pPr>
            <w:r w:rsidRPr="00366A75">
              <w:rPr>
                <w:rFonts w:ascii="Times New Roman" w:hAnsi="Times New Roman" w:cs="Times New Roman"/>
              </w:rPr>
              <w:t>Индикаторы достижения компетенции</w:t>
            </w:r>
          </w:p>
        </w:tc>
      </w:tr>
      <w:tr w:rsidR="005178D4" w:rsidRPr="00366A75" w:rsidTr="0074365D">
        <w:tc>
          <w:tcPr>
            <w:tcW w:w="2065" w:type="dxa"/>
          </w:tcPr>
          <w:p w:rsidR="005178D4" w:rsidRPr="00366A75" w:rsidRDefault="005178D4" w:rsidP="00CA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75">
              <w:rPr>
                <w:rFonts w:ascii="Times New Roman" w:hAnsi="Times New Roman" w:cs="Times New Roman"/>
                <w:b/>
              </w:rPr>
              <w:t>ПКП-1</w:t>
            </w:r>
          </w:p>
        </w:tc>
        <w:tc>
          <w:tcPr>
            <w:tcW w:w="3452" w:type="dxa"/>
          </w:tcPr>
          <w:p w:rsidR="005178D4" w:rsidRPr="00366A75" w:rsidRDefault="005178D4" w:rsidP="00E2002A">
            <w:pPr>
              <w:widowControl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гражданского оборота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>.</w:t>
            </w:r>
          </w:p>
        </w:tc>
        <w:tc>
          <w:tcPr>
            <w:tcW w:w="4373" w:type="dxa"/>
          </w:tcPr>
          <w:p w:rsidR="005178D4" w:rsidRPr="00366A75" w:rsidRDefault="005178D4" w:rsidP="00E2002A">
            <w:pPr>
              <w:widowControl w:val="0"/>
              <w:numPr>
                <w:ilvl w:val="0"/>
                <w:numId w:val="4"/>
              </w:numPr>
              <w:tabs>
                <w:tab w:val="left" w:pos="259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4"/>
              </w:numPr>
              <w:tabs>
                <w:tab w:val="left" w:pos="360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Использует фундаментальные знания в области частного и публичного права в современных условиях.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4"/>
              </w:numPr>
              <w:tabs>
                <w:tab w:val="left" w:pos="326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Оказывает помощь в реализации правовых норм субъектами гражданского оборота.</w:t>
            </w:r>
          </w:p>
        </w:tc>
      </w:tr>
      <w:tr w:rsidR="005178D4" w:rsidRPr="00366A75" w:rsidTr="0074365D">
        <w:tc>
          <w:tcPr>
            <w:tcW w:w="2065" w:type="dxa"/>
          </w:tcPr>
          <w:p w:rsidR="005178D4" w:rsidRPr="00366A75" w:rsidRDefault="005178D4" w:rsidP="00CA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75">
              <w:rPr>
                <w:rFonts w:ascii="Times New Roman" w:hAnsi="Times New Roman" w:cs="Times New Roman"/>
                <w:b/>
              </w:rPr>
              <w:t>ПКП-2</w:t>
            </w:r>
          </w:p>
        </w:tc>
        <w:tc>
          <w:tcPr>
            <w:tcW w:w="3452" w:type="dxa"/>
          </w:tcPr>
          <w:p w:rsidR="005178D4" w:rsidRPr="00366A75" w:rsidRDefault="005178D4" w:rsidP="00E2002A">
            <w:pPr>
              <w:widowControl w:val="0"/>
              <w:ind w:left="0"/>
              <w:jc w:val="both"/>
              <w:rPr>
                <w:rFonts w:cs="Times New Roman"/>
                <w:b/>
              </w:rPr>
            </w:pP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Способность действовать с учетом кризисных ситуаций в экономик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е, вызываемых рисками правового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и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экономического характера, анализировать проблемные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ситуации на рынке товаров, работ, услуг, а также выявлять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 xml:space="preserve">правонарушения при осуществлении 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п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 xml:space="preserve">редпринимательской деятельности и давать юридически обоснованные предложения по их преодолению </w:t>
            </w:r>
            <w:r w:rsidRPr="00E2002A">
              <w:rPr>
                <w:rFonts w:ascii="Times New Roman" w:eastAsia="Calibri" w:hAnsi="Times New Roman" w:cs="Times New Roman"/>
                <w:lang w:eastAsia="ru-RU" w:bidi="ru-RU"/>
              </w:rPr>
              <w:t>и</w:t>
            </w:r>
            <w:r w:rsidR="00E2002A" w:rsidRPr="00E2002A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E2002A">
              <w:rPr>
                <w:rFonts w:ascii="Times New Roman" w:eastAsia="Calibri" w:hAnsi="Times New Roman" w:cs="Times New Roman"/>
                <w:lang w:eastAsia="ru-RU" w:bidi="ru-RU"/>
              </w:rPr>
              <w:t>устранению</w:t>
            </w:r>
            <w:r w:rsidR="00E2002A">
              <w:rPr>
                <w:rFonts w:ascii="Times New Roman" w:eastAsia="Calibri" w:hAnsi="Times New Roman" w:cs="Times New Roman"/>
                <w:lang w:eastAsia="ru-RU" w:bidi="ru-RU"/>
              </w:rPr>
              <w:t>.</w:t>
            </w:r>
          </w:p>
        </w:tc>
        <w:tc>
          <w:tcPr>
            <w:tcW w:w="4373" w:type="dxa"/>
          </w:tcPr>
          <w:p w:rsidR="005178D4" w:rsidRPr="00366A75" w:rsidRDefault="005178D4" w:rsidP="00E2002A">
            <w:pPr>
              <w:widowControl w:val="0"/>
              <w:numPr>
                <w:ilvl w:val="0"/>
                <w:numId w:val="5"/>
              </w:numPr>
              <w:tabs>
                <w:tab w:val="left" w:pos="226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Действует с учетом кризисных ситуаций в экономике, вызываемых рисками правового и экономического характера.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5"/>
              </w:numPr>
              <w:tabs>
                <w:tab w:val="left" w:pos="408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Выявляет правонарушения при осуществлении предпринимательской деятельности.</w:t>
            </w:r>
          </w:p>
          <w:p w:rsidR="005178D4" w:rsidRPr="00366A75" w:rsidRDefault="005178D4" w:rsidP="00E2002A">
            <w:pPr>
              <w:widowControl w:val="0"/>
              <w:numPr>
                <w:ilvl w:val="0"/>
                <w:numId w:val="5"/>
              </w:numPr>
              <w:tabs>
                <w:tab w:val="left" w:pos="326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  <w:p w:rsidR="005178D4" w:rsidRPr="00366A75" w:rsidRDefault="005178D4" w:rsidP="00E2002A">
            <w:pPr>
              <w:widowControl w:val="0"/>
              <w:spacing w:line="280" w:lineRule="exact"/>
              <w:ind w:left="0" w:firstLine="437"/>
              <w:rPr>
                <w:rFonts w:ascii="Times New Roman" w:hAnsi="Times New Roman" w:cs="Times New Roman"/>
                <w:b/>
                <w:bCs/>
                <w:u w:val="single"/>
                <w:lang w:eastAsia="ru-RU" w:bidi="ru-RU"/>
              </w:rPr>
            </w:pPr>
          </w:p>
        </w:tc>
      </w:tr>
    </w:tbl>
    <w:p w:rsidR="00934774" w:rsidRPr="00366A75" w:rsidRDefault="00934774" w:rsidP="00934774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</w:p>
    <w:p w:rsidR="00450F16" w:rsidRPr="00366A75" w:rsidRDefault="00450F16" w:rsidP="00450F16">
      <w:pPr>
        <w:widowControl w:val="0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t>Оценочные материалы</w:t>
      </w:r>
    </w:p>
    <w:p w:rsidR="00762696" w:rsidRPr="00366A75" w:rsidRDefault="00762696" w:rsidP="00450F16">
      <w:pPr>
        <w:widowControl w:val="0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014"/>
        <w:gridCol w:w="4679"/>
        <w:gridCol w:w="2587"/>
        <w:gridCol w:w="1609"/>
      </w:tblGrid>
      <w:tr w:rsidR="00BD06AE" w:rsidRPr="00366A75" w:rsidTr="00CA137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366A75" w:rsidRDefault="00450F16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6A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Номер задания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366A75" w:rsidRDefault="00450F16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6A75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оценочных материалов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366A75" w:rsidRDefault="00450F16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6A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Правильный ответ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16" w:rsidRPr="00366A75" w:rsidRDefault="00450F16" w:rsidP="0074365D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6A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Компетенции</w:t>
            </w:r>
          </w:p>
        </w:tc>
      </w:tr>
      <w:tr w:rsidR="00BD06AE" w:rsidRPr="00366A75" w:rsidTr="00CA1378">
        <w:tc>
          <w:tcPr>
            <w:tcW w:w="1014" w:type="dxa"/>
          </w:tcPr>
          <w:p w:rsidR="00450F16" w:rsidRPr="00366A75" w:rsidRDefault="00450F16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450F16" w:rsidRPr="00366A75" w:rsidRDefault="00BD06AE" w:rsidP="00762696">
            <w:pPr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Определите вид индуктивного умозаключения и отметьте состоятельность вывода: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«На всякое тело, погруженное в жидкость, действует выталкивающая сила, направленная вверх и равная весу вытесненной им жидкости»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б) п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олная индукция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в) н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еполная индукция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450F16" w:rsidRPr="00366A75" w:rsidRDefault="00E2002A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в) н</w:t>
            </w:r>
            <w:r w:rsidR="00BD06AE" w:rsidRPr="00366A75">
              <w:rPr>
                <w:rFonts w:ascii="Times New Roman" w:hAnsi="Times New Roman" w:cs="Times New Roman"/>
                <w:shd w:val="clear" w:color="auto" w:fill="FFFFFF"/>
              </w:rPr>
              <w:t>еполная индукция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FD5B27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E2002A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Определите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 с действием какого формально-логического закона связаны приведенные высказывания: «Что же касается судебных речей, то дело их — обвинять или оправдывать, потому что тяжущиеся всегда делают непременно одно что-нибудь из двух (или обвиняют или оправдываются)» (Аристотель)</w:t>
            </w:r>
            <w:r w:rsidR="0074365D" w:rsidRPr="00366A75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hd w:val="clear" w:color="auto" w:fill="FFFFFF"/>
              </w:rPr>
              <w:t>а) з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акон тождества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="0074365D" w:rsidRPr="00366A75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hd w:val="clear" w:color="auto" w:fill="FFFFFF"/>
              </w:rPr>
              <w:t>б) з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акон достаточного основания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="0074365D" w:rsidRPr="00366A75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hd w:val="clear" w:color="auto" w:fill="FFFFFF"/>
              </w:rPr>
              <w:t>в) з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акон исключенного третьего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="0074365D" w:rsidRPr="00366A75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hd w:val="clear" w:color="auto" w:fill="FFFFFF"/>
              </w:rPr>
              <w:t>г) з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акон противоречия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E2002A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в) з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акон исключенного третьего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Выберите высказывание, которое имеет одинаковую логическую форму с высказыванием: «Некоторые работники суда не имеют высшего образования»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а) м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ногие следственные действия имеют своей целью профилактику правонарушений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б) ч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асть осужденных к лишению свободы не содержатся в исправительно-трудовой колонии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в) н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и один человек не должен страдать за правду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г) н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ичто не проходит бесследно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д) а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рест состоит в содержании лица в условиях строгой изоляции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E2002A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б) ч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асть осужденных к лишению свободы не содержатся в исправительно-трудовой колонии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74365D" w:rsidRPr="00366A7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Выберите причину несостоятельности аргументов в рассуждении: «Куры летают, так как куры — птицы, а все птицы летают»: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а) недостоверность аргумента;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противоречие в аргументах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в) недостаточность аргументов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недостоверность аргумента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CA1378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Логическая операция, которая раскрывает содержание понятия: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ограничение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определение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в) обобщение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г) деление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определение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CA1378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Как называются понятия, в которых мыслятся признаки некоторой совокупности предметов, составляющих единое целое: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соотносительные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конкретные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в) общие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г) собирательные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г) собирательные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CA1378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Слово или словосочетание, которое обозначает строго определенное понятие: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а) о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монимы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б) т</w:t>
            </w:r>
            <w:r w:rsidR="00CA1378" w:rsidRPr="00366A75">
              <w:rPr>
                <w:rFonts w:ascii="Times New Roman" w:hAnsi="Times New Roman" w:cs="Times New Roman"/>
                <w:shd w:val="clear" w:color="auto" w:fill="FFFFFF"/>
              </w:rPr>
              <w:t>ермин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в) с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инонимы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E2002A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б) термин.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BD06AE">
            <w:pPr>
              <w:pStyle w:val="a6"/>
              <w:shd w:val="clear" w:color="auto" w:fill="FFFFFF"/>
              <w:spacing w:before="0" w:beforeAutospacing="0" w:after="0" w:afterAutospacing="0"/>
              <w:rPr>
                <w:kern w:val="2"/>
                <w:sz w:val="22"/>
                <w:szCs w:val="22"/>
                <w14:ligatures w14:val="standardContextual"/>
              </w:rPr>
            </w:pPr>
            <w:r w:rsidRPr="00366A75">
              <w:rPr>
                <w:sz w:val="22"/>
                <w:szCs w:val="22"/>
              </w:rPr>
              <w:t xml:space="preserve">Вид гипотезы, который объясняет причину явления </w:t>
            </w:r>
            <w:r w:rsidR="00E2002A">
              <w:rPr>
                <w:sz w:val="22"/>
                <w:szCs w:val="22"/>
              </w:rPr>
              <w:t>или группы явлений в целом:</w:t>
            </w:r>
            <w:r w:rsidR="00E2002A">
              <w:rPr>
                <w:sz w:val="22"/>
                <w:szCs w:val="22"/>
              </w:rPr>
              <w:br/>
              <w:t>а) р</w:t>
            </w:r>
            <w:r w:rsidRPr="00366A75">
              <w:rPr>
                <w:sz w:val="22"/>
                <w:szCs w:val="22"/>
              </w:rPr>
              <w:t xml:space="preserve">абочая </w:t>
            </w:r>
            <w:r w:rsidR="00E2002A">
              <w:rPr>
                <w:sz w:val="22"/>
                <w:szCs w:val="22"/>
              </w:rPr>
              <w:t>гипотеза;</w:t>
            </w:r>
            <w:r w:rsidR="00E2002A">
              <w:rPr>
                <w:sz w:val="22"/>
                <w:szCs w:val="22"/>
              </w:rPr>
              <w:br/>
              <w:t>б) описательная гипотеза;</w:t>
            </w:r>
            <w:r w:rsidR="00E2002A">
              <w:rPr>
                <w:sz w:val="22"/>
                <w:szCs w:val="22"/>
              </w:rPr>
              <w:br/>
              <w:t>в) объяснительная гипотеза;</w:t>
            </w:r>
            <w:r w:rsidR="00E2002A">
              <w:rPr>
                <w:sz w:val="22"/>
                <w:szCs w:val="22"/>
              </w:rPr>
              <w:br/>
              <w:t>г) научная гипотеза;</w:t>
            </w:r>
            <w:r w:rsidR="00E2002A">
              <w:rPr>
                <w:sz w:val="22"/>
                <w:szCs w:val="22"/>
              </w:rPr>
              <w:br/>
              <w:t>д) о</w:t>
            </w:r>
            <w:r w:rsidRPr="00366A75">
              <w:rPr>
                <w:sz w:val="22"/>
                <w:szCs w:val="22"/>
              </w:rPr>
              <w:t>бщая гипотеза</w:t>
            </w:r>
            <w:r w:rsidR="00E2002A">
              <w:rPr>
                <w:sz w:val="22"/>
                <w:szCs w:val="22"/>
              </w:rPr>
              <w:t>.</w:t>
            </w:r>
          </w:p>
        </w:tc>
        <w:tc>
          <w:tcPr>
            <w:tcW w:w="2587" w:type="dxa"/>
          </w:tcPr>
          <w:p w:rsidR="0074365D" w:rsidRPr="00366A75" w:rsidRDefault="00E2002A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</w:rPr>
              <w:t>д) общая гипотеза.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CA1378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Вид суждений, к которому относится данное утверждение: «Некоторые преступления — неумышленные»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общеутвердительное суждение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б) </w:t>
            </w:r>
            <w:proofErr w:type="spellStart"/>
            <w:r w:rsidRPr="00366A75">
              <w:rPr>
                <w:rFonts w:ascii="Times New Roman" w:hAnsi="Times New Roman" w:cs="Times New Roman"/>
                <w:shd w:val="clear" w:color="auto" w:fill="FFFFFF"/>
              </w:rPr>
              <w:t>частноутвердительное</w:t>
            </w:r>
            <w:proofErr w:type="spellEnd"/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 суждение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в) общеотрицательное суждение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г) </w:t>
            </w:r>
            <w:proofErr w:type="spellStart"/>
            <w:r w:rsidRPr="00366A75">
              <w:rPr>
                <w:rFonts w:ascii="Times New Roman" w:hAnsi="Times New Roman" w:cs="Times New Roman"/>
                <w:shd w:val="clear" w:color="auto" w:fill="FFFFFF"/>
              </w:rPr>
              <w:t>частноотрицательное</w:t>
            </w:r>
            <w:proofErr w:type="spellEnd"/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 суждение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б) </w:t>
            </w:r>
            <w:proofErr w:type="spellStart"/>
            <w:r w:rsidRPr="00366A75">
              <w:rPr>
                <w:rFonts w:ascii="Times New Roman" w:hAnsi="Times New Roman" w:cs="Times New Roman"/>
                <w:shd w:val="clear" w:color="auto" w:fill="FFFFFF"/>
              </w:rPr>
              <w:t>частноутвердительное</w:t>
            </w:r>
            <w:proofErr w:type="spellEnd"/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 суждение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CA1378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Выберите виды умозаключения по количеству посылок: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а) п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ростое и сложное умозаключение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б) д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едуктивное, </w:t>
            </w:r>
            <w:proofErr w:type="spellStart"/>
            <w:r w:rsidRPr="00366A75">
              <w:rPr>
                <w:rFonts w:ascii="Times New Roman" w:hAnsi="Times New Roman" w:cs="Times New Roman"/>
                <w:shd w:val="clear" w:color="auto" w:fill="FFFFFF"/>
              </w:rPr>
              <w:t>традуктивное</w:t>
            </w:r>
            <w:proofErr w:type="spellEnd"/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 и индуктивное умозаключение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в) н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епосредственное и опосредованное умозаключение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E2002A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в) н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епосредственное и опосредованное умозаключение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CA1378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Определить, к какому виду относится данное понятие, значит дать ему: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объем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логическую характеристику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в) значение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г) смысл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д) конкретность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логическую характеристику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Определите, в каком отношении находятся объемы имен «студент» и «спортсмен»: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пересечение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подчинение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в) исключение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г) совпадение</w:t>
            </w:r>
          </w:p>
        </w:tc>
        <w:tc>
          <w:tcPr>
            <w:tcW w:w="2587" w:type="dxa"/>
          </w:tcPr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пересечение</w:t>
            </w:r>
            <w:r w:rsidR="00E200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Название совокупности умозаключений, на которых строится гипотеза: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а) ф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орма гипотезы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б) о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снование гипотезы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в) п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редположение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E2002A" w:rsidP="00BD06AE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а) ф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орма гипотезы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rPr>
          <w:trHeight w:val="217"/>
        </w:trPr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Определите правило ответа, которое нарушено в данных примерах: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а) у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 xml:space="preserve"> одного из современных отечественных политиков журналисты несколько раз спрашивали: «Будет ли денежная реформа или нет?». И каждый раз он давал такой ответ: «Денежно-товарная масса должна быть адекватна политической корзине»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б) о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твет должен уменьшать неопределенность вопроса, быть информативнее его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) о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твет должен быть ясным, однозначным и кратким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г) п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ри некорректной постановке вопроса ответ должен содержать указание на эту некорректность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AC7AE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в) о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твет должен быть ясным, однозначным и кратким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Положение, истинность или ложность которого требуется доказать это: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а) тезис;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br/>
              <w:t>б) д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емонстрация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в) а</w:t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ргумент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AC7AE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а) т</w:t>
            </w:r>
            <w:r w:rsidR="0074365D" w:rsidRPr="00366A75">
              <w:rPr>
                <w:rFonts w:ascii="Times New Roman" w:hAnsi="Times New Roman" w:cs="Times New Roman"/>
                <w:shd w:val="clear" w:color="auto" w:fill="FFFFFF"/>
              </w:rPr>
              <w:t>езис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  <w:tr w:rsidR="0074365D" w:rsidRPr="00366A75" w:rsidTr="00CA1378">
        <w:tc>
          <w:tcPr>
            <w:tcW w:w="1014" w:type="dxa"/>
          </w:tcPr>
          <w:p w:rsidR="0074365D" w:rsidRPr="00366A75" w:rsidRDefault="0074365D" w:rsidP="00BD06A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679" w:type="dxa"/>
          </w:tcPr>
          <w:p w:rsidR="0074365D" w:rsidRPr="00366A75" w:rsidRDefault="0074365D" w:rsidP="00762696">
            <w:pPr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Определите, что такое антитезис: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противоречащее тезису суждение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б) противоположное тезису суждение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в) любое несовместимое с тезисом суждение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366A75">
              <w:rPr>
                <w:rFonts w:ascii="Times New Roman" w:hAnsi="Times New Roman" w:cs="Times New Roman"/>
              </w:rPr>
              <w:br/>
            </w: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г) суждение, полученное путем превращения тезиса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587" w:type="dxa"/>
          </w:tcPr>
          <w:p w:rsidR="0074365D" w:rsidRPr="00366A75" w:rsidRDefault="0074365D" w:rsidP="00BD06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hAnsi="Times New Roman" w:cs="Times New Roman"/>
                <w:shd w:val="clear" w:color="auto" w:fill="FFFFFF"/>
              </w:rPr>
              <w:t>а) противоречащее тезису суждение</w:t>
            </w:r>
            <w:r w:rsidR="00AC7AE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09" w:type="dxa"/>
          </w:tcPr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ПКП-1</w:t>
            </w:r>
          </w:p>
          <w:p w:rsidR="0074365D" w:rsidRPr="00366A75" w:rsidRDefault="0074365D" w:rsidP="00CA1378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</w:pPr>
            <w:r w:rsidRPr="00366A75">
              <w:rPr>
                <w:rFonts w:ascii="Times New Roman" w:eastAsia="Times New Roman" w:hAnsi="Times New Roman" w:cs="Times New Roman"/>
                <w:kern w:val="2"/>
                <w:lang w:eastAsia="ru-RU"/>
                <w14:ligatures w14:val="standardContextual"/>
              </w:rPr>
              <w:t>ПКП-2</w:t>
            </w:r>
          </w:p>
        </w:tc>
      </w:tr>
    </w:tbl>
    <w:p w:rsidR="00450F16" w:rsidRPr="00366A75" w:rsidRDefault="00450F16" w:rsidP="00450F16">
      <w:pPr>
        <w:widowControl w:val="0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</w:p>
    <w:p w:rsidR="00450F16" w:rsidRPr="00366A75" w:rsidRDefault="00450F16" w:rsidP="00450F16">
      <w:pPr>
        <w:widowControl w:val="0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66A75">
        <w:rPr>
          <w:rFonts w:ascii="Times New Roman" w:eastAsia="Times New Roman" w:hAnsi="Times New Roman" w:cs="Times New Roman"/>
          <w:b/>
          <w:bCs/>
          <w:lang w:eastAsia="ru-RU"/>
        </w:rPr>
        <w:t>Критерий оценки знаний</w:t>
      </w:r>
    </w:p>
    <w:tbl>
      <w:tblPr>
        <w:tblStyle w:val="1"/>
        <w:tblW w:w="9656" w:type="dxa"/>
        <w:tblInd w:w="91" w:type="dxa"/>
        <w:tblLook w:val="04A0" w:firstRow="1" w:lastRow="0" w:firstColumn="1" w:lastColumn="0" w:noHBand="0" w:noVBand="1"/>
      </w:tblPr>
      <w:tblGrid>
        <w:gridCol w:w="5675"/>
        <w:gridCol w:w="2286"/>
        <w:gridCol w:w="1695"/>
      </w:tblGrid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450F16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450F16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450F16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>Процент выполненных заданий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86-100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70-85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п</w:t>
            </w: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51-69</w:t>
            </w:r>
          </w:p>
        </w:tc>
      </w:tr>
      <w:tr w:rsidR="00450F16" w:rsidRPr="00366A75" w:rsidTr="00CA1378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 w:firstLine="760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AC7AED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16" w:rsidRPr="00366A75" w:rsidRDefault="00450F16" w:rsidP="00AC7AED">
            <w:pPr>
              <w:widowControl w:val="0"/>
              <w:tabs>
                <w:tab w:val="left" w:pos="114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366A75">
              <w:rPr>
                <w:rFonts w:ascii="Times New Roman" w:eastAsia="Times New Roman" w:hAnsi="Times New Roman" w:cs="Times New Roman"/>
                <w:lang w:eastAsia="ru-RU" w:bidi="ru-RU"/>
              </w:rPr>
              <w:t>0-50</w:t>
            </w:r>
          </w:p>
        </w:tc>
      </w:tr>
    </w:tbl>
    <w:p w:rsidR="00934774" w:rsidRPr="00366A75" w:rsidRDefault="00934774" w:rsidP="00934774">
      <w:pPr>
        <w:ind w:left="0" w:firstLine="709"/>
        <w:jc w:val="both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</w:p>
    <w:p w:rsidR="00EF59EE" w:rsidRPr="00366A75" w:rsidRDefault="00EF59EE">
      <w:pPr>
        <w:rPr>
          <w:rFonts w:ascii="Times New Roman" w:hAnsi="Times New Roman" w:cs="Times New Roman"/>
        </w:rPr>
      </w:pPr>
    </w:p>
    <w:sectPr w:rsidR="00EF59EE" w:rsidRPr="00366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46078"/>
    <w:multiLevelType w:val="hybridMultilevel"/>
    <w:tmpl w:val="EC7E4380"/>
    <w:lvl w:ilvl="0" w:tplc="771A825E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F627817"/>
    <w:multiLevelType w:val="multilevel"/>
    <w:tmpl w:val="DE04F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F473C"/>
    <w:multiLevelType w:val="hybridMultilevel"/>
    <w:tmpl w:val="12163A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5A75A94"/>
    <w:multiLevelType w:val="multilevel"/>
    <w:tmpl w:val="37DEB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3C"/>
    <w:rsid w:val="00093B61"/>
    <w:rsid w:val="001236BB"/>
    <w:rsid w:val="002853AD"/>
    <w:rsid w:val="00362D84"/>
    <w:rsid w:val="00366A75"/>
    <w:rsid w:val="00450F16"/>
    <w:rsid w:val="004C623C"/>
    <w:rsid w:val="005178D4"/>
    <w:rsid w:val="0074365D"/>
    <w:rsid w:val="00762696"/>
    <w:rsid w:val="00811DAE"/>
    <w:rsid w:val="00934774"/>
    <w:rsid w:val="00965E03"/>
    <w:rsid w:val="00A306C6"/>
    <w:rsid w:val="00AC7AED"/>
    <w:rsid w:val="00AE5568"/>
    <w:rsid w:val="00BB3123"/>
    <w:rsid w:val="00BD06AE"/>
    <w:rsid w:val="00C4623B"/>
    <w:rsid w:val="00CA1378"/>
    <w:rsid w:val="00D272EA"/>
    <w:rsid w:val="00E15073"/>
    <w:rsid w:val="00E2002A"/>
    <w:rsid w:val="00EA2693"/>
    <w:rsid w:val="00EF59EE"/>
    <w:rsid w:val="00FD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01EE"/>
  <w15:docId w15:val="{F74CEB81-F70C-4B05-A9C0-FC52FFBF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74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450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5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568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AE5568"/>
    <w:pPr>
      <w:spacing w:after="0" w:line="240" w:lineRule="auto"/>
    </w:pPr>
    <w:rPr>
      <w:rFonts w:ascii="Aptos" w:eastAsia="Aptos" w:hAnsi="Aptos"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locked/>
    <w:rsid w:val="00BB3123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3123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/>
      <w:sz w:val="31"/>
      <w:szCs w:val="31"/>
    </w:rPr>
  </w:style>
  <w:style w:type="paragraph" w:styleId="a6">
    <w:name w:val="Normal (Web)"/>
    <w:basedOn w:val="a"/>
    <w:uiPriority w:val="99"/>
    <w:unhideWhenUsed/>
    <w:rsid w:val="00BD06A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178D4"/>
    <w:pPr>
      <w:tabs>
        <w:tab w:val="center" w:pos="4677"/>
        <w:tab w:val="right" w:pos="9355"/>
      </w:tabs>
      <w:spacing w:after="5" w:line="255" w:lineRule="auto"/>
      <w:ind w:left="79" w:right="276" w:firstLine="784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5178D4"/>
    <w:rPr>
      <w:rFonts w:ascii="Times New Roman" w:eastAsia="Times New Roman" w:hAnsi="Times New Roman" w:cs="Times New Roman"/>
      <w:color w:val="000000"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Андрей Ю. Петров</cp:lastModifiedBy>
  <cp:revision>21</cp:revision>
  <dcterms:created xsi:type="dcterms:W3CDTF">2023-12-11T06:33:00Z</dcterms:created>
  <dcterms:modified xsi:type="dcterms:W3CDTF">2024-12-23T05:38:00Z</dcterms:modified>
</cp:coreProperties>
</file>