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DE3A5B" w:rsidRPr="00175294" w:rsidRDefault="00DE3A5B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A965088" wp14:editId="206C7CA1">
            <wp:extent cx="1798320" cy="12376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5E5B57" w:rsidRDefault="005E5B57" w:rsidP="00993FAC">
      <w:pPr>
        <w:suppressAutoHyphens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Юридическая риторика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5E5B57">
        <w:rPr>
          <w:rFonts w:ascii="Times New Roman" w:eastAsia="Calibri" w:hAnsi="Times New Roman" w:cs="Times New Roman"/>
          <w:sz w:val="24"/>
          <w:szCs w:val="24"/>
        </w:rPr>
        <w:t>Юридическая риторика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кафедрой «Социально-гуманитарные и естественно-научные дисциплины» (протокол </w:t>
      </w:r>
      <w:r w:rsidR="00C365B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7B55" w:rsidRDefault="005E5B57" w:rsidP="00307B55">
      <w:p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Юридическая риторика</w:t>
      </w:r>
    </w:p>
    <w:p w:rsidR="005E5B57" w:rsidRPr="00307B55" w:rsidRDefault="005E5B57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D145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5E5B5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4F12F4" w:rsidRDefault="005E5B57" w:rsidP="005E5B57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4F12F4">
              <w:rPr>
                <w:rFonts w:ascii="Times New Roman" w:eastAsia="Times New Roman" w:hAnsi="Times New Roman" w:cs="Times New Roman"/>
                <w:lang w:eastAsia="ru-RU"/>
              </w:rPr>
              <w:t>ПКН-2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4F12F4" w:rsidRDefault="005E5B57" w:rsidP="005E5B57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4">
              <w:rPr>
                <w:rFonts w:ascii="Times New Roman" w:eastAsia="Times New Roman" w:hAnsi="Times New Roman" w:cs="Times New Roman"/>
                <w:lang w:eastAsia="ru-RU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Default="005E5B57" w:rsidP="00C365B1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1. Использует понятие и виды юридических документов как объектов юридической техники в правоприменительной деятельности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5E5B57" w:rsidRDefault="005E5B57" w:rsidP="00C365B1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. Понимает значение юридических документов в правовом регулировании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5E5B57" w:rsidRDefault="005E5B57" w:rsidP="00C365B1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3. Оценивает уровень юридической техники как показателя правовой культуры.</w:t>
            </w:r>
          </w:p>
          <w:p w:rsidR="005E5B57" w:rsidRDefault="005E5B57" w:rsidP="00C365B1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4. Грамотно применяет необходимые нормы права.</w:t>
            </w:r>
          </w:p>
          <w:p w:rsidR="005E5B57" w:rsidRDefault="005E5B57" w:rsidP="00C365B1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ind w:firstLine="601"/>
              <w:jc w:val="both"/>
              <w:rPr>
                <w:b/>
                <w:sz w:val="24"/>
                <w:szCs w:val="24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5. Владеет навыками анализа нормативных правовых актов в целях устранения правовых пробелов, коллизий в правоприменительной деятельности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</w:tr>
      <w:tr w:rsidR="005E5B5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4F12F4" w:rsidRDefault="005E5B57" w:rsidP="005E5B57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4">
              <w:rPr>
                <w:rFonts w:ascii="Times New Roman" w:eastAsia="Times New Roman" w:hAnsi="Times New Roman" w:cs="Times New Roman"/>
                <w:lang w:eastAsia="ru-RU"/>
              </w:rPr>
              <w:t>ПКН-7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4F12F4" w:rsidRDefault="005E5B57" w:rsidP="005E5B57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4">
              <w:rPr>
                <w:rFonts w:ascii="Times New Roman" w:eastAsia="Times New Roman" w:hAnsi="Times New Roman" w:cs="Times New Roman"/>
                <w:lang w:eastAsia="ru-RU"/>
              </w:rPr>
              <w:t>Владение коммуникативными навыками и юридическим письмом; способность доводить свою аргументированную правовую позицию до сведения иных лиц, работать в коллективе для достижения необходимого результата.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Default="005E5B57" w:rsidP="00C365B1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1.Обосновывает решения, обеспечивая их реализацию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5E5B57" w:rsidRDefault="005E5B57" w:rsidP="00C365B1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2.Владеет навыками профессионального общения и коммуникации по вопросам организации и управления собственной профессиональной деятельности, электронной культуры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5E5B57" w:rsidRDefault="005E5B57" w:rsidP="00C365B1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3.Определяет способы разрешения конфликтной ситуации в профессиональной деятельности юриста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5E5B57" w:rsidRDefault="005E5B57" w:rsidP="00C365B1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4.Находит возможные пути и способы решения поставленных профессиональных задач в составе команды.</w:t>
            </w:r>
          </w:p>
          <w:p w:rsidR="005E5B57" w:rsidRDefault="005E5B57" w:rsidP="00C365B1">
            <w:pPr>
              <w:pStyle w:val="40"/>
              <w:tabs>
                <w:tab w:val="left" w:pos="2355"/>
              </w:tabs>
              <w:spacing w:before="0" w:line="240" w:lineRule="auto"/>
              <w:ind w:firstLine="601"/>
              <w:jc w:val="both"/>
              <w:rPr>
                <w:b/>
                <w:sz w:val="24"/>
                <w:szCs w:val="24"/>
              </w:rPr>
            </w:pPr>
            <w:r w:rsidRPr="005E5B57">
              <w:rPr>
                <w:rFonts w:eastAsia="Times New Roman"/>
                <w:sz w:val="22"/>
                <w:szCs w:val="22"/>
                <w:lang w:eastAsia="ru-RU"/>
              </w:rPr>
              <w:t>5.Четко и лаконично формулирует и письменно излагает свои мысли</w:t>
            </w:r>
            <w:r w:rsidR="00C365B1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</w:tr>
      <w:tr w:rsidR="005E5B57" w:rsidTr="003325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767F33" w:rsidRDefault="005E5B57" w:rsidP="005E5B57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УК-2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Pr="004F12F4" w:rsidRDefault="005E5B57" w:rsidP="005E5B57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50B">
              <w:rPr>
                <w:rFonts w:ascii="Times New Roman" w:eastAsia="Times New Roman" w:hAnsi="Times New Roman" w:cs="Times New Roman"/>
                <w:lang w:eastAsia="ru-RU"/>
              </w:rPr>
              <w:t>Способность применять нормы  государственного языка Российской Федерации  в устной и письменной речи в процессе личной и профессиональной коммуникаций</w:t>
            </w:r>
            <w:r w:rsidR="00C365B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57" w:rsidRDefault="005E5B57" w:rsidP="00C365B1">
            <w:pPr>
              <w:pStyle w:val="20"/>
              <w:keepNext/>
              <w:keepLines/>
              <w:spacing w:before="0" w:line="240" w:lineRule="auto"/>
              <w:ind w:firstLine="601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  <w:r w:rsidRPr="005E5B57">
              <w:rPr>
                <w:rFonts w:eastAsia="Calibri"/>
                <w:b w:val="0"/>
                <w:bCs w:val="0"/>
                <w:sz w:val="22"/>
                <w:szCs w:val="22"/>
              </w:rPr>
              <w:t>1.Использует информационно-коммуникационные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Федерации.</w:t>
            </w:r>
          </w:p>
          <w:p w:rsidR="005E5B57" w:rsidRDefault="005E5B57" w:rsidP="00C365B1">
            <w:pPr>
              <w:pStyle w:val="20"/>
              <w:keepNext/>
              <w:keepLines/>
              <w:spacing w:before="0" w:line="240" w:lineRule="auto"/>
              <w:ind w:firstLine="601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  <w:r w:rsidRPr="005E5B57">
              <w:rPr>
                <w:rFonts w:eastAsia="Calibri"/>
                <w:b w:val="0"/>
                <w:bCs w:val="0"/>
                <w:sz w:val="22"/>
                <w:szCs w:val="22"/>
              </w:rPr>
              <w:t>2. Ведет деловую переписку, учитывая особенности официально-делового стиля и речевого этикета</w:t>
            </w:r>
            <w:r w:rsidR="00C365B1">
              <w:rPr>
                <w:rFonts w:eastAsia="Calibri"/>
                <w:b w:val="0"/>
                <w:bCs w:val="0"/>
                <w:sz w:val="22"/>
                <w:szCs w:val="22"/>
              </w:rPr>
              <w:t>.</w:t>
            </w:r>
          </w:p>
          <w:p w:rsidR="005E5B57" w:rsidRDefault="005E5B57" w:rsidP="00C365B1">
            <w:pPr>
              <w:pStyle w:val="20"/>
              <w:keepNext/>
              <w:keepLines/>
              <w:spacing w:before="0" w:line="240" w:lineRule="auto"/>
              <w:ind w:firstLine="601"/>
              <w:jc w:val="both"/>
              <w:rPr>
                <w:b w:val="0"/>
                <w:bCs w:val="0"/>
                <w:sz w:val="22"/>
                <w:szCs w:val="22"/>
                <w:lang w:eastAsia="ru-RU"/>
              </w:rPr>
            </w:pPr>
            <w:r w:rsidRPr="005E5B57">
              <w:rPr>
                <w:b w:val="0"/>
                <w:bCs w:val="0"/>
                <w:sz w:val="22"/>
                <w:szCs w:val="22"/>
                <w:lang w:eastAsia="ru-RU"/>
              </w:rPr>
              <w:t>3. Ведет деловые переговоры на государственном языке Российской Федерации</w:t>
            </w:r>
            <w:r w:rsidR="00C365B1">
              <w:rPr>
                <w:b w:val="0"/>
                <w:bCs w:val="0"/>
                <w:sz w:val="22"/>
                <w:szCs w:val="22"/>
                <w:lang w:eastAsia="ru-RU"/>
              </w:rPr>
              <w:t>.</w:t>
            </w:r>
          </w:p>
          <w:p w:rsidR="005E5B57" w:rsidRPr="005E5B57" w:rsidRDefault="005E5B57" w:rsidP="00C365B1">
            <w:pPr>
              <w:widowControl w:val="0"/>
              <w:autoSpaceDE w:val="0"/>
              <w:autoSpaceDN w:val="0"/>
              <w:adjustRightInd w:val="0"/>
              <w:ind w:left="0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B57">
              <w:rPr>
                <w:rFonts w:ascii="Times New Roman" w:eastAsia="Times New Roman" w:hAnsi="Times New Roman" w:cs="Times New Roman"/>
                <w:lang w:eastAsia="ru-RU"/>
              </w:rPr>
              <w:t>4. Использует лексико-грамматические</w:t>
            </w:r>
          </w:p>
          <w:p w:rsidR="005E5B57" w:rsidRDefault="005E5B57" w:rsidP="00C365B1">
            <w:pPr>
              <w:widowControl w:val="0"/>
              <w:autoSpaceDE w:val="0"/>
              <w:autoSpaceDN w:val="0"/>
              <w:adjustRightInd w:val="0"/>
              <w:ind w:left="0" w:firstLine="34"/>
              <w:jc w:val="both"/>
              <w:rPr>
                <w:sz w:val="24"/>
                <w:szCs w:val="24"/>
              </w:rPr>
            </w:pPr>
            <w:r w:rsidRPr="005E5B57">
              <w:rPr>
                <w:rFonts w:ascii="Times New Roman" w:eastAsia="Times New Roman" w:hAnsi="Times New Roman" w:cs="Times New Roman"/>
                <w:lang w:eastAsia="ru-RU"/>
              </w:rPr>
              <w:t>и стилистические ресурсы на государственном языке Российской Федерации в</w:t>
            </w:r>
            <w:r w:rsidR="00C365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65B1">
              <w:rPr>
                <w:rFonts w:ascii="Times New Roman" w:hAnsi="Times New Roman" w:cs="Times New Roman"/>
                <w:lang w:eastAsia="ru-RU"/>
              </w:rPr>
              <w:t>зависимости от решаемой коммуникативной, в том числе профессиональной, задачи.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1C" w:rsidRDefault="002A7E1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1C" w:rsidRDefault="002A7E1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1C" w:rsidRDefault="002A7E1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1C" w:rsidRDefault="002A7E1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307B55" w:rsidRPr="00F467F1" w:rsidTr="00083AC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F467F1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F467F1" w:rsidRDefault="00307B55" w:rsidP="008E433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Pr="00F467F1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Pr="00F467F1" w:rsidRDefault="00307B55" w:rsidP="00D1458C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судебного разбирательства, в которой стороны подводят итоги проведенного исследования фактических обстоятельств дела, анализируют собранные доказательства, высказывают и обосновывают каждый свое мнение по поводу подлежащих разрешению судом вопросов и о том, как в целом должно быть решено дело: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Судебные прения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Наука об истолковании смысла слова: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орфология;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герменевтика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орфоэпия.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г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ерменевтика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Закономерности, механизмы и способы формирован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ия и применения убеждающей речи 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это: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ф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ормы риторики;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в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иды риторики;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бъект риторики;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 риторики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 риторики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риторики, изучающий вопросы выработки аргументации и разработки общей концепции текста: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емонстрация;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и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нвенция;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емория</w:t>
            </w:r>
            <w:proofErr w:type="spellEnd"/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д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испозиция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инвенция</w:t>
            </w:r>
          </w:p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D0118C">
        <w:trPr>
          <w:trHeight w:val="16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риторики, изучающий вопросы запоминания речи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емонстрация;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емория</w:t>
            </w:r>
            <w:proofErr w:type="spellEnd"/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и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нвенция;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д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испозиция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tabs>
                <w:tab w:val="left" w:pos="569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емория</w:t>
            </w:r>
            <w:proofErr w:type="spellEnd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устойчивых формул общения, предписываемых обществом как правила речевого поведения: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Кто автор определения: «Риторика — это способность находить возможные способы убеждения относительно каждого данного предмета»: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Аристотель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автор определения: «Красноречие есть искусство о всякой данной материи красно говорить и тем самым преклонять других к своему </w:t>
            </w:r>
            <w:proofErr w:type="gramStart"/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об оной мнению</w:t>
            </w:r>
            <w:proofErr w:type="gramEnd"/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»: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Ломоносов;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Сенека;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Овидий;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Аристотель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Ломоносов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С деятельностью представителей какой древней школы связывают возникновение риторики: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лассики;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офисты;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киники.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офисты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Является синонимом термина «Риторика»: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Красноречие 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Празднословие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В) Ораторство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Красноречие</w:t>
            </w:r>
          </w:p>
          <w:p w:rsidR="008E433B" w:rsidRPr="00F467F1" w:rsidRDefault="008E433B" w:rsidP="008E433B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Ораторство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лавный адресат судебной речи: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 присутствующие в зале суда;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F467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 суда;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Потерпевший;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Процессуальный противник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Состав суда.</w:t>
            </w:r>
            <w:r w:rsidRPr="00F46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Судебное красноречие зародилось в: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древнем 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Риме;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древней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Греции;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древнем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Китае;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Европе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редние 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древней</w:t>
            </w:r>
            <w:r w:rsidRPr="00F467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Греции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требования к юридическому стилю: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Корректность;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Ясность;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Стабильность;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Унифицированность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 w:right="7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Корректность;</w:t>
            </w:r>
          </w:p>
          <w:p w:rsidR="008E433B" w:rsidRPr="00F467F1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Ясность;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В) Стабильность;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Унифицированность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rPr>
          <w:trHeight w:val="32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Случай, когда оратор в процессе рассуждения доказывает положение, отличное от того, что было им заявлено — это: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и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спользование ложных посылок;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п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одмена тезиса;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орочный круг доказательств;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п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одмена фактов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Б) п</w:t>
            </w:r>
            <w:r w:rsidRPr="00F467F1">
              <w:rPr>
                <w:bCs/>
              </w:rPr>
              <w:t>одмена тезиса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К элементам речевой техники не относятся: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г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олос;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имика;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п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роизношение;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д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м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имика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2525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Видами судебных речей не могут быть: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з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аключительная речь;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о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бвинительная речь;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з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ащитительная речь;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амозащитительная</w:t>
            </w:r>
            <w:proofErr w:type="spellEnd"/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обвиняемого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з</w:t>
            </w: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аключительная речь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B" w:rsidRPr="00F467F1" w:rsidRDefault="008E433B" w:rsidP="008E433B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7F1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440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E35453" w:rsidRDefault="008E433B" w:rsidP="008E433B">
            <w:pPr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Установите соответствие между автором и высказыванием:</w:t>
            </w:r>
          </w:p>
          <w:p w:rsidR="008E433B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470">
              <w:rPr>
                <w:rFonts w:ascii="Times New Roman" w:eastAsia="Times New Roman" w:hAnsi="Times New Roman" w:cs="Times New Roman"/>
                <w:sz w:val="24"/>
                <w:szCs w:val="24"/>
              </w:rPr>
              <w:t>1. Речь слагается из трех элементов – из самого оратора, из предмета, о котором он говорит, и из лица, к которому он обращается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433B" w:rsidRPr="00F467F1" w:rsidRDefault="008E433B" w:rsidP="008E433B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470">
              <w:rPr>
                <w:rFonts w:ascii="Times New Roman" w:eastAsia="Times New Roman" w:hAnsi="Times New Roman" w:cs="Times New Roman"/>
                <w:sz w:val="24"/>
                <w:szCs w:val="24"/>
              </w:rPr>
              <w:t>2. Слово есть великий властелин, который, обладая малым и совершенно незаметным телом, совершает чудеснейшие дела...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б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в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– а </w:t>
            </w:r>
          </w:p>
          <w:p w:rsidR="008E433B" w:rsidRDefault="008E433B" w:rsidP="008E4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33B" w:rsidRPr="00E35453" w:rsidRDefault="008E433B" w:rsidP="008E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jc w:val="center"/>
            </w:pPr>
            <w:r w:rsidRPr="00BF67D7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440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E35453" w:rsidRDefault="008E433B" w:rsidP="008E433B">
            <w:pPr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Установите соответствие между понятием и определением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E433B" w:rsidRDefault="008E433B" w:rsidP="008E433B">
            <w:p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E433B" w:rsidRPr="00342C2C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342C2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</w:t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—</w:t>
            </w:r>
            <w:proofErr w:type="gramEnd"/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…</w:t>
            </w:r>
          </w:p>
          <w:p w:rsidR="008E433B" w:rsidRPr="00433A54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>2. Судебные прения – это …</w:t>
            </w:r>
          </w:p>
          <w:p w:rsidR="008E433B" w:rsidRPr="00433A54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>3. Напутственное слово — это …</w:t>
            </w:r>
          </w:p>
          <w:p w:rsidR="008E433B" w:rsidRPr="00433A54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>4. Речь – это …</w:t>
            </w:r>
          </w:p>
          <w:p w:rsidR="008E433B" w:rsidRPr="00433A54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433B" w:rsidRPr="00433A54" w:rsidRDefault="008E433B" w:rsidP="008E433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>А. Часть судебного разбирательства, в которой стороны подводят итоги проведенного исследования фактических обстоятельств дела, анализируют собранные доказательства, высказывают и обосновывают каждый свое мнение по поводу подлежащих разрешению судом вопросов и о том, как в целом должно быть решено дело.</w:t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Б. конкретное говорение, протекающее во времени и облеченное в звуковую (включая внутреннее проговаривание) или письменную форму.</w:t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В. Публичное обсуждение проблем, интересующих участников обсуждения, вызванное желанием как можно глубже, обстоятельнее разобраться в обсуждаемых вопросах.</w:t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Слово — речь, которую произносит председательствующий в судебном заседании перед удалением коллегии присяжных заседателей в совещательную комнату для вынесения вердикта.</w:t>
            </w:r>
            <w:r w:rsidRPr="00433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в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– а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– г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– б  </w:t>
            </w:r>
          </w:p>
          <w:p w:rsidR="008E433B" w:rsidRPr="00E35453" w:rsidRDefault="008E433B" w:rsidP="008E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jc w:val="center"/>
            </w:pPr>
            <w:r w:rsidRPr="00BF67D7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  <w:tr w:rsidR="008E433B" w:rsidRPr="00F467F1" w:rsidTr="0033440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особенности юридического письма: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Четкое формулирование мысли;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Строгая иерархичность положений;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Использование специальной терминологии;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Г) Метафоричность.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Четкое формулирование мысли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Строгая иерархичность положений</w:t>
            </w:r>
          </w:p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В) Использование специальной терминологии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jc w:val="center"/>
            </w:pPr>
            <w:r w:rsidRPr="00BF67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УК-2, ПКН-2, ПКН-7</w:t>
            </w:r>
          </w:p>
        </w:tc>
      </w:tr>
      <w:tr w:rsidR="008E433B" w:rsidRPr="00F467F1" w:rsidTr="0033440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F467F1" w:rsidRDefault="008E433B" w:rsidP="008E433B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Pr="00E35453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>Укажите последовательность оптимальной структуры деловой беседы:</w:t>
            </w:r>
          </w:p>
          <w:p w:rsidR="008E433B" w:rsidRPr="00E35453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>1. Изложение своей позиции и ее обоснование</w:t>
            </w:r>
          </w:p>
          <w:p w:rsidR="008E433B" w:rsidRPr="00E35453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>2. Принятие решения</w:t>
            </w:r>
          </w:p>
          <w:p w:rsidR="008E433B" w:rsidRPr="00E35453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>3. Выяснение позиции собеседника</w:t>
            </w:r>
          </w:p>
          <w:p w:rsidR="008E433B" w:rsidRPr="00E35453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Вступление в контакт </w:t>
            </w:r>
          </w:p>
          <w:p w:rsidR="008E433B" w:rsidRPr="00F467F1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453">
              <w:rPr>
                <w:rFonts w:ascii="Times New Roman" w:hAnsi="Times New Roman" w:cs="Times New Roman"/>
                <w:bCs/>
                <w:sz w:val="24"/>
                <w:szCs w:val="24"/>
              </w:rPr>
              <w:t>5. Совместный анализ проблемы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4, 1, 3, 5, 2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B" w:rsidRDefault="008E433B" w:rsidP="008E433B">
            <w:pPr>
              <w:jc w:val="center"/>
            </w:pPr>
            <w:r w:rsidRPr="00BF67D7">
              <w:rPr>
                <w:rFonts w:ascii="Times New Roman" w:hAnsi="Times New Roman" w:cs="Times New Roman"/>
                <w:bCs/>
                <w:sz w:val="24"/>
                <w:szCs w:val="24"/>
              </w:rPr>
              <w:t>УК-2, ПКН-2, ПКН-7</w:t>
            </w:r>
          </w:p>
        </w:tc>
      </w:tr>
    </w:tbl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923" w:type="dxa"/>
        <w:tblInd w:w="-34" w:type="dxa"/>
        <w:tblLook w:val="04A0" w:firstRow="1" w:lastRow="0" w:firstColumn="1" w:lastColumn="0" w:noHBand="0" w:noVBand="1"/>
      </w:tblPr>
      <w:tblGrid>
        <w:gridCol w:w="5552"/>
        <w:gridCol w:w="2474"/>
        <w:gridCol w:w="1897"/>
      </w:tblGrid>
      <w:tr w:rsidR="00307B55" w:rsidTr="00773094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773094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73094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7730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773094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73094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  <w:r w:rsidR="007730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773094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73094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7730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773094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773094">
            <w:pPr>
              <w:tabs>
                <w:tab w:val="left" w:pos="1149"/>
              </w:tabs>
              <w:ind w:left="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77309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3AC5"/>
    <w:rsid w:val="000960FC"/>
    <w:rsid w:val="000A1246"/>
    <w:rsid w:val="000B72A9"/>
    <w:rsid w:val="000D3FBA"/>
    <w:rsid w:val="00171A7F"/>
    <w:rsid w:val="001B0829"/>
    <w:rsid w:val="001C4D03"/>
    <w:rsid w:val="002101D8"/>
    <w:rsid w:val="00263B1C"/>
    <w:rsid w:val="00285296"/>
    <w:rsid w:val="002A7E1C"/>
    <w:rsid w:val="002B0DBE"/>
    <w:rsid w:val="002C146D"/>
    <w:rsid w:val="003026C5"/>
    <w:rsid w:val="00307B55"/>
    <w:rsid w:val="003165E9"/>
    <w:rsid w:val="00332525"/>
    <w:rsid w:val="004A15A7"/>
    <w:rsid w:val="004F3BBD"/>
    <w:rsid w:val="00513878"/>
    <w:rsid w:val="00547225"/>
    <w:rsid w:val="00576EDA"/>
    <w:rsid w:val="005E0285"/>
    <w:rsid w:val="005E5B57"/>
    <w:rsid w:val="006F7688"/>
    <w:rsid w:val="007255D7"/>
    <w:rsid w:val="00773094"/>
    <w:rsid w:val="007A0507"/>
    <w:rsid w:val="007C2486"/>
    <w:rsid w:val="007D03F5"/>
    <w:rsid w:val="007E7224"/>
    <w:rsid w:val="008A09BE"/>
    <w:rsid w:val="008B5952"/>
    <w:rsid w:val="008E433B"/>
    <w:rsid w:val="0094416A"/>
    <w:rsid w:val="00993FAC"/>
    <w:rsid w:val="0099723D"/>
    <w:rsid w:val="009A3AA0"/>
    <w:rsid w:val="009C51D8"/>
    <w:rsid w:val="009E3294"/>
    <w:rsid w:val="009E6319"/>
    <w:rsid w:val="00A22CBD"/>
    <w:rsid w:val="00A57391"/>
    <w:rsid w:val="00AB453E"/>
    <w:rsid w:val="00B47F44"/>
    <w:rsid w:val="00BA26EB"/>
    <w:rsid w:val="00BD15C2"/>
    <w:rsid w:val="00C365B1"/>
    <w:rsid w:val="00C56B58"/>
    <w:rsid w:val="00C851DE"/>
    <w:rsid w:val="00CA535B"/>
    <w:rsid w:val="00CE2357"/>
    <w:rsid w:val="00CE5B02"/>
    <w:rsid w:val="00CF7ADD"/>
    <w:rsid w:val="00D0118C"/>
    <w:rsid w:val="00D1458C"/>
    <w:rsid w:val="00D85BF4"/>
    <w:rsid w:val="00DB2CE3"/>
    <w:rsid w:val="00DD1E12"/>
    <w:rsid w:val="00DE3A5B"/>
    <w:rsid w:val="00DF76F4"/>
    <w:rsid w:val="00E27A74"/>
    <w:rsid w:val="00E35453"/>
    <w:rsid w:val="00E91220"/>
    <w:rsid w:val="00EB3126"/>
    <w:rsid w:val="00EC5F96"/>
    <w:rsid w:val="00EE2009"/>
    <w:rsid w:val="00F07E7F"/>
    <w:rsid w:val="00F467F1"/>
    <w:rsid w:val="00F524F5"/>
    <w:rsid w:val="00F91291"/>
    <w:rsid w:val="00FA5A59"/>
    <w:rsid w:val="00F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723EF-A2CF-4364-AC04-58458414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12</cp:revision>
  <cp:lastPrinted>2024-10-02T10:17:00Z</cp:lastPrinted>
  <dcterms:created xsi:type="dcterms:W3CDTF">2024-06-18T12:42:00Z</dcterms:created>
  <dcterms:modified xsi:type="dcterms:W3CDTF">2024-12-23T05:51:00Z</dcterms:modified>
</cp:coreProperties>
</file>